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8482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482965"/>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Lie Sean</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CEREBRAS SYSTEMS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1237 E. ARQUES AVEUNE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Cerebras Systems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CBRS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22"/>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90" w:lineRule="exact"/>
        <w:rPr>
          <w:sz w:val="24"/>
          <w:szCs w:val="24"/>
          <w:color w:val="auto"/>
        </w:rPr>
      </w:pPr>
    </w:p>
    <w:p>
      <w:pPr>
        <w:sectPr>
          <w:pgSz w:w="11900" w:h="16838" w:orient="portrait"/>
          <w:cols w:equalWidth="0" w:num="3">
            <w:col w:w="3180" w:space="720"/>
            <w:col w:w="3118" w:space="720"/>
            <w:col w:w="3342"/>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SUNNYVALE   CA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94085</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0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84"/>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95"/>
              </w:rPr>
              <w:t>10,033</w:t>
            </w:r>
            <w:r>
              <w:rPr>
                <w:rFonts w:ascii="Times New Roman" w:cs="Times New Roman" w:eastAsia="Times New Roman" w:hAnsi="Times New Roman"/>
                <w:sz w:val="21"/>
                <w:szCs w:val="21"/>
                <w:color w:val="008000"/>
                <w:w w:val="95"/>
                <w:vertAlign w:val="superscript"/>
              </w:rPr>
              <w:t>(1)</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tcBorders>
              <w:bottom w:val="single" w:sz="8" w:color="2C2C2C"/>
            </w:tcBorders>
          </w:tcPr>
          <w:p>
            <w:pPr>
              <w:jc w:val="center"/>
              <w:ind w:left="64"/>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10,033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w w:val="91"/>
              </w:rPr>
              <w:t>2,534</w:t>
            </w:r>
            <w:r>
              <w:rPr>
                <w:rFonts w:ascii="Times New Roman" w:cs="Times New Roman" w:eastAsia="Times New Roman" w:hAnsi="Times New Roman"/>
                <w:sz w:val="21"/>
                <w:szCs w:val="21"/>
                <w:color w:val="008000"/>
                <w:w w:val="91"/>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165.21</w:t>
            </w:r>
            <w:r>
              <w:rPr>
                <w:rFonts w:ascii="Times New Roman" w:cs="Times New Roman" w:eastAsia="Times New Roman" w:hAnsi="Times New Roman"/>
                <w:sz w:val="21"/>
                <w:szCs w:val="21"/>
                <w:color w:val="008000"/>
                <w:w w:val="93"/>
                <w:vertAlign w:val="superscript"/>
              </w:rPr>
              <w:t>(3)</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7,499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w w:val="91"/>
              </w:rPr>
              <w:t>3,353</w:t>
            </w:r>
            <w:r>
              <w:rPr>
                <w:rFonts w:ascii="Times New Roman" w:cs="Times New Roman" w:eastAsia="Times New Roman" w:hAnsi="Times New Roman"/>
                <w:sz w:val="21"/>
                <w:szCs w:val="21"/>
                <w:color w:val="008000"/>
                <w:w w:val="91"/>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165.43</w:t>
            </w:r>
            <w:r>
              <w:rPr>
                <w:rFonts w:ascii="Times New Roman" w:cs="Times New Roman" w:eastAsia="Times New Roman" w:hAnsi="Times New Roman"/>
                <w:sz w:val="21"/>
                <w:szCs w:val="21"/>
                <w:color w:val="008000"/>
                <w:w w:val="93"/>
                <w:vertAlign w:val="superscript"/>
              </w:rPr>
              <w:t>(4)</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4,146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922</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168.8</w:t>
            </w:r>
            <w:r>
              <w:rPr>
                <w:rFonts w:ascii="Times New Roman" w:cs="Times New Roman" w:eastAsia="Times New Roman" w:hAnsi="Times New Roman"/>
                <w:sz w:val="21"/>
                <w:szCs w:val="21"/>
                <w:color w:val="008000"/>
                <w:w w:val="93"/>
                <w:vertAlign w:val="superscript"/>
              </w:rPr>
              <w:t>(5)</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400</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169.62</w:t>
            </w:r>
            <w:r>
              <w:rPr>
                <w:rFonts w:ascii="Times New Roman" w:cs="Times New Roman" w:eastAsia="Times New Roman" w:hAnsi="Times New Roman"/>
                <w:sz w:val="21"/>
                <w:szCs w:val="21"/>
                <w:color w:val="008000"/>
                <w:w w:val="93"/>
                <w:vertAlign w:val="superscript"/>
              </w:rPr>
              <w:t>(6)</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2,824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110</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170.57</w:t>
            </w:r>
            <w:r>
              <w:rPr>
                <w:rFonts w:ascii="Times New Roman" w:cs="Times New Roman" w:eastAsia="Times New Roman" w:hAnsi="Times New Roman"/>
                <w:sz w:val="21"/>
                <w:szCs w:val="21"/>
                <w:color w:val="008000"/>
                <w:w w:val="93"/>
                <w:vertAlign w:val="superscript"/>
              </w:rPr>
              <w:t>(7)</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2,714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263</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171.78</w:t>
            </w:r>
            <w:r>
              <w:rPr>
                <w:rFonts w:ascii="Times New Roman" w:cs="Times New Roman" w:eastAsia="Times New Roman" w:hAnsi="Times New Roman"/>
                <w:sz w:val="21"/>
                <w:szCs w:val="21"/>
                <w:color w:val="008000"/>
                <w:w w:val="93"/>
                <w:vertAlign w:val="superscript"/>
              </w:rPr>
              <w:t>(8)</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2,451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200</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173.16</w:t>
            </w:r>
            <w:r>
              <w:rPr>
                <w:rFonts w:ascii="Times New Roman" w:cs="Times New Roman" w:eastAsia="Times New Roman" w:hAnsi="Times New Roman"/>
                <w:sz w:val="21"/>
                <w:szCs w:val="21"/>
                <w:color w:val="008000"/>
                <w:w w:val="93"/>
                <w:vertAlign w:val="superscript"/>
              </w:rPr>
              <w:t>(9)</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2,251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100</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175.57</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2,151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line="307" w:lineRule="exact"/>
              <w:rPr>
                <w:sz w:val="20"/>
                <w:szCs w:val="20"/>
                <w:color w:val="auto"/>
              </w:rPr>
            </w:pPr>
            <w:r>
              <w:rPr>
                <w:rFonts w:ascii="Times New Roman" w:cs="Times New Roman" w:eastAsia="Times New Roman" w:hAnsi="Times New Roman"/>
                <w:sz w:val="33"/>
                <w:szCs w:val="33"/>
                <w:color w:val="0000FF"/>
                <w:w w:val="78"/>
                <w:vertAlign w:val="subscript"/>
              </w:rPr>
              <w:t>242</w:t>
            </w:r>
            <w:r>
              <w:rPr>
                <w:rFonts w:ascii="Times New Roman" w:cs="Times New Roman" w:eastAsia="Times New Roman" w:hAnsi="Times New Roman"/>
                <w:sz w:val="11"/>
                <w:szCs w:val="11"/>
                <w:color w:val="008000"/>
                <w:w w:val="78"/>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178.66</w:t>
            </w:r>
            <w:r>
              <w:rPr>
                <w:rFonts w:ascii="Times New Roman" w:cs="Times New Roman" w:eastAsia="Times New Roman" w:hAnsi="Times New Roman"/>
                <w:sz w:val="21"/>
                <w:szCs w:val="21"/>
                <w:color w:val="008000"/>
                <w:w w:val="90"/>
                <w:vertAlign w:val="superscript"/>
              </w:rPr>
              <w:t>(10)</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1,909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300</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180.12</w:t>
            </w:r>
            <w:r>
              <w:rPr>
                <w:rFonts w:ascii="Times New Roman" w:cs="Times New Roman" w:eastAsia="Times New Roman" w:hAnsi="Times New Roman"/>
                <w:sz w:val="21"/>
                <w:szCs w:val="21"/>
                <w:color w:val="008000"/>
                <w:w w:val="90"/>
                <w:vertAlign w:val="superscript"/>
              </w:rPr>
              <w:t>(11)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1,609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200</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181.2</w:t>
            </w:r>
            <w:r>
              <w:rPr>
                <w:rFonts w:ascii="Times New Roman" w:cs="Times New Roman" w:eastAsia="Times New Roman" w:hAnsi="Times New Roman"/>
                <w:sz w:val="21"/>
                <w:szCs w:val="21"/>
                <w:color w:val="008000"/>
                <w:w w:val="90"/>
                <w:vertAlign w:val="superscript"/>
              </w:rPr>
              <w:t>(12)</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1,409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200</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182.57</w:t>
            </w:r>
            <w:r>
              <w:rPr>
                <w:rFonts w:ascii="Times New Roman" w:cs="Times New Roman" w:eastAsia="Times New Roman" w:hAnsi="Times New Roman"/>
                <w:sz w:val="21"/>
                <w:szCs w:val="21"/>
                <w:color w:val="008000"/>
                <w:w w:val="90"/>
                <w:vertAlign w:val="superscript"/>
              </w:rPr>
              <w:t>(13)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1,209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300</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183.71</w:t>
            </w:r>
            <w:r>
              <w:rPr>
                <w:rFonts w:ascii="Times New Roman" w:cs="Times New Roman" w:eastAsia="Times New Roman" w:hAnsi="Times New Roman"/>
                <w:sz w:val="21"/>
                <w:szCs w:val="21"/>
                <w:color w:val="008000"/>
                <w:w w:val="90"/>
                <w:vertAlign w:val="superscript"/>
              </w:rPr>
              <w:t>(14)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909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705</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2"/>
          </w:tcPr>
          <w:p>
            <w:pPr>
              <w:jc w:val="center"/>
              <w:ind w:left="4"/>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184.8</w:t>
            </w:r>
            <w:r>
              <w:rPr>
                <w:rFonts w:ascii="Times New Roman" w:cs="Times New Roman" w:eastAsia="Times New Roman" w:hAnsi="Times New Roman"/>
                <w:sz w:val="21"/>
                <w:szCs w:val="21"/>
                <w:color w:val="008000"/>
                <w:w w:val="90"/>
                <w:vertAlign w:val="superscript"/>
              </w:rPr>
              <w:t>(15)</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100</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185.51</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504"/>
              <w:spacing w:after="0"/>
              <w:rPr>
                <w:sz w:val="20"/>
                <w:szCs w:val="20"/>
                <w:color w:val="auto"/>
              </w:rPr>
            </w:pPr>
            <w:r>
              <w:rPr>
                <w:rFonts w:ascii="Times New Roman" w:cs="Times New Roman" w:eastAsia="Times New Roman" w:hAnsi="Times New Roman"/>
                <w:sz w:val="17"/>
                <w:szCs w:val="17"/>
                <w:color w:val="0000FF"/>
                <w:w w:val="98"/>
              </w:rPr>
              <w:t>06/25/2026</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85"/>
              </w:rPr>
              <w:t>104</w:t>
            </w:r>
            <w:r>
              <w:rPr>
                <w:rFonts w:ascii="Times New Roman" w:cs="Times New Roman" w:eastAsia="Times New Roman" w:hAnsi="Times New Roman"/>
                <w:sz w:val="21"/>
                <w:szCs w:val="21"/>
                <w:color w:val="008000"/>
                <w:w w:val="85"/>
                <w:vertAlign w:val="superscript"/>
              </w:rPr>
              <w:t>(2)</w:t>
            </w:r>
          </w:p>
        </w:tc>
        <w:tc>
          <w:tcPr>
            <w:tcW w:w="58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jc w:val="center"/>
              <w:ind w:left="6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186.51</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0"/>
          </w:tcPr>
          <w:p>
            <w:pPr>
              <w:jc w:val="center"/>
              <w:ind w:left="42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jc w:val="center"/>
              <w:ind w:right="6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700" w:type="dxa"/>
            <w:vAlign w:val="bottom"/>
            <w:vMerge w:val="restart"/>
          </w:tcPr>
          <w:p>
            <w:pPr>
              <w:jc w:val="right"/>
              <w:ind w:right="44"/>
              <w:spacing w:after="0"/>
              <w:rPr>
                <w:sz w:val="20"/>
                <w:szCs w:val="20"/>
                <w:color w:val="auto"/>
              </w:rPr>
            </w:pPr>
            <w:r>
              <w:rPr>
                <w:rFonts w:ascii="Times New Roman" w:cs="Times New Roman" w:eastAsia="Times New Roman" w:hAnsi="Times New Roman"/>
                <w:sz w:val="17"/>
                <w:szCs w:val="17"/>
                <w:color w:val="0000FF"/>
              </w:rPr>
              <w:t>10,033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06/25/2026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320" w:type="dxa"/>
            <w:vAlign w:val="bottom"/>
          </w:tcPr>
          <w:p>
            <w:pPr>
              <w:spacing w:after="0"/>
              <w:rPr>
                <w:sz w:val="12"/>
                <w:szCs w:val="12"/>
                <w:color w:val="auto"/>
              </w:rPr>
            </w:pPr>
          </w:p>
        </w:tc>
        <w:tc>
          <w:tcPr>
            <w:tcW w:w="80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10,033</w:t>
            </w: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60" w:type="dxa"/>
            <w:vAlign w:val="bottom"/>
            <w:gridSpan w:val="2"/>
          </w:tcPr>
          <w:p>
            <w:pPr>
              <w:jc w:val="right"/>
              <w:ind w:right="142"/>
              <w:spacing w:after="0" w:line="141" w:lineRule="exact"/>
              <w:rPr>
                <w:sz w:val="20"/>
                <w:szCs w:val="20"/>
                <w:color w:val="auto"/>
              </w:rPr>
            </w:pPr>
            <w:r>
              <w:rPr>
                <w:rFonts w:ascii="Times New Roman" w:cs="Times New Roman" w:eastAsia="Times New Roman" w:hAnsi="Times New Roman"/>
                <w:sz w:val="13"/>
                <w:szCs w:val="13"/>
                <w:color w:val="0000FF"/>
              </w:rPr>
              <w:t>8,199,698</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700" w:type="dxa"/>
            <w:vAlign w:val="bottom"/>
            <w:vMerge w:val="restart"/>
          </w:tcPr>
          <w:p>
            <w:pPr>
              <w:jc w:val="right"/>
              <w:ind w:right="4"/>
              <w:spacing w:after="0"/>
              <w:rPr>
                <w:sz w:val="20"/>
                <w:szCs w:val="20"/>
                <w:color w:val="auto"/>
              </w:rPr>
            </w:pPr>
            <w:r>
              <w:rPr>
                <w:rFonts w:ascii="Times New Roman" w:cs="Times New Roman" w:eastAsia="Times New Roman" w:hAnsi="Times New Roman"/>
                <w:sz w:val="17"/>
                <w:szCs w:val="17"/>
                <w:color w:val="0000FF"/>
              </w:rPr>
              <w:t>180,600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2"/>
          </w:tcPr>
          <w:p>
            <w:pPr>
              <w:jc w:val="right"/>
              <w:ind w:right="182"/>
              <w:spacing w:after="0" w:line="141" w:lineRule="exact"/>
              <w:rPr>
                <w:sz w:val="20"/>
                <w:szCs w:val="20"/>
                <w:color w:val="auto"/>
              </w:rPr>
            </w:pPr>
            <w:r>
              <w:rPr>
                <w:rFonts w:ascii="Times New Roman" w:cs="Times New Roman" w:eastAsia="Times New Roman" w:hAnsi="Times New Roman"/>
                <w:sz w:val="13"/>
                <w:szCs w:val="13"/>
                <w:color w:val="0000FF"/>
              </w:rPr>
              <w:t>180,600</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tcPr>
          <w:p>
            <w:pPr>
              <w:ind w:left="140"/>
              <w:spacing w:after="0" w:line="141" w:lineRule="exact"/>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-2264410</wp:posOffset>
            </wp:positionV>
            <wp:extent cx="29210" cy="2270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701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Common Stock is convertible into an equal number of Class A Common Stock at any time, at the Reporting Person's election, and has no expiration date.</w:t>
      </w:r>
    </w:p>
    <w:p>
      <w:pPr>
        <w:spacing w:after="0" w:line="42" w:lineRule="exact"/>
        <w:rPr>
          <w:rFonts w:ascii="Times New Roman" w:cs="Times New Roman" w:eastAsia="Times New Roman" w:hAnsi="Times New Roman"/>
          <w:sz w:val="13"/>
          <w:szCs w:val="13"/>
          <w:color w:val="008000"/>
        </w:rPr>
      </w:pPr>
    </w:p>
    <w:p>
      <w:pPr>
        <w:ind w:right="60" w:firstLine="1"/>
        <w:spacing w:after="0" w:line="234"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settlement of restricted stock units, resulting in the automatic conversion of the shares into Class A Common Stock immediately prior to execution of the sale. The sale was to satisfy tax withholding obligations to be funded by a "sell to cover" transaction and does not represent a discretionary transaction by the Reporting Person. The Reporting Person is subject to a lock-up agreement that that was entered into with underwriters in connection with the Issuer's initial public offering and expires on the earlier of (i) 6:00 a.m. Eastern Time on the second trading day following the Issuer's release of earnings for the quarter ending September 30, 2026 or (ii) November 9, 2026. The sale of shares is a permissible exemption under the terms of the lock-up agreement.</w:t>
      </w:r>
    </w:p>
    <w:p>
      <w:pPr>
        <w:spacing w:after="0" w:line="26" w:lineRule="exact"/>
        <w:rPr>
          <w:rFonts w:ascii="Times New Roman" w:cs="Times New Roman" w:eastAsia="Times New Roman" w:hAnsi="Times New Roman"/>
          <w:sz w:val="13"/>
          <w:szCs w:val="13"/>
          <w:color w:val="008000"/>
        </w:rPr>
      </w:pPr>
    </w:p>
    <w:p>
      <w:pPr>
        <w:ind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$165.11 to $165.66,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$167.17 to $167.82,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$168.28 to $169.25,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$169.32 to $170.20,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$170.40 to $170.59,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$171.74 to $171.88,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firstLine="1"/>
        <w:spacing w:after="0" w:line="252"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$173.01 to $173.30,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right="480" w:firstLine="1"/>
        <w:spacing w:after="0" w:line="252" w:lineRule="auto"/>
        <w:tabs>
          <w:tab w:leader="none" w:pos="19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$178.47 to $178.70,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right="480" w:firstLine="1"/>
        <w:spacing w:after="0" w:line="252" w:lineRule="auto"/>
        <w:tabs>
          <w:tab w:leader="none" w:pos="18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$179.60 to $180.51,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right="480" w:firstLine="1"/>
        <w:spacing w:after="0" w:line="252" w:lineRule="auto"/>
        <w:tabs>
          <w:tab w:leader="none" w:pos="19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$181.18 to $181.21,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right="480" w:firstLine="1"/>
        <w:spacing w:after="0" w:line="252" w:lineRule="auto"/>
        <w:tabs>
          <w:tab w:leader="none" w:pos="19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$182.28 to $182.86,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right="480" w:firstLine="1"/>
        <w:spacing w:after="0" w:line="252" w:lineRule="auto"/>
        <w:tabs>
          <w:tab w:leader="none" w:pos="19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$183.51 to $184.11,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right="480" w:firstLine="1"/>
        <w:spacing w:after="0" w:line="252" w:lineRule="auto"/>
        <w:tabs>
          <w:tab w:leader="none" w:pos="19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in Column 4 of Table 1 represents the weighted average sale price of the shares sold ranging from $184.51 to $185.24, inclusive. Upon request by the staff of the Securities and Exchange commission, the Issuer, or a security holder of the Issuer, the Reporting Person will provide full information regarding the number of shares sold at each separate price.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Robert Mills, Attorney-in-</w:t>
            </w:r>
          </w:p>
        </w:tc>
        <w:tc>
          <w:tcPr>
            <w:tcW w:w="12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2"/>
        </w:trPr>
        <w:tc>
          <w:tcPr>
            <w:tcW w:w="208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80" w:firstLine="1"/>
        <w:spacing w:after="0" w:line="33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2472" TargetMode="External"/><Relationship Id="rId14" Type="http://schemas.openxmlformats.org/officeDocument/2006/relationships/hyperlink" Target="http://www.sec.gov/cgi-bin/browse-edgar?action=getcompany&amp;CIK=00020217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2026-06-29T16:32:12Z</dcterms:created>
  <dcterms:modified xsi:type="dcterms:W3CDTF">2026-06-29T16:32:12Z</dcterms:modified>
</cp:coreProperties>
</file>