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52026_110836.xml.htm"/>
      <w:bookmarkStart w:id="1" w:name="ksform408252026_11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Foundation Capital Management Co.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1"/>
        <w:gridCol w:w="929"/>
        <w:gridCol w:w="799"/>
        <w:gridCol w:w="616"/>
        <w:gridCol w:w="337"/>
        <w:gridCol w:w="1163"/>
        <w:gridCol w:w="405"/>
        <w:gridCol w:w="574"/>
        <w:gridCol w:w="1237"/>
        <w:gridCol w:w="951"/>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L.P.</w:t>
            </w:r>
            <w:r>
              <w:rPr>
                <w:rFonts w:ascii="Times;serif" w:hAnsi="Times;serif"/>
                <w:color w:val="008000"/>
                <w:position w:val="7"/>
                <w:sz w:val="16"/>
                <w:sz w:val="20"/>
                <w:shd w:fill="FFFFFF" w:val="clear"/>
              </w:rPr>
              <w:t>(2)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Principals Fund, L.L.C.</w:t>
            </w:r>
            <w:r>
              <w:rPr>
                <w:rFonts w:ascii="Times;serif" w:hAnsi="Times;serif"/>
                <w:color w:val="008000"/>
                <w:position w:val="7"/>
                <w:sz w:val="16"/>
                <w:sz w:val="20"/>
                <w:shd w:fill="FFFFFF" w:val="clear"/>
              </w:rPr>
              <w:t>(3)</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Leadership Fund II, L.P.</w:t>
            </w:r>
            <w:r>
              <w:rPr>
                <w:rFonts w:ascii="Times;serif" w:hAnsi="Times;serif"/>
                <w:color w:val="008000"/>
                <w:position w:val="7"/>
                <w:sz w:val="16"/>
                <w:sz w:val="20"/>
                <w:shd w:fill="FFFFFF" w:val="clear"/>
              </w:rPr>
              <w:t>(4)</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L.P.</w:t>
            </w:r>
            <w:r>
              <w:rPr>
                <w:rFonts w:ascii="Times;serif" w:hAnsi="Times;serif"/>
                <w:color w:val="008000"/>
                <w:position w:val="7"/>
                <w:sz w:val="16"/>
                <w:sz w:val="20"/>
                <w:shd w:fill="FFFFFF" w:val="clear"/>
              </w:rPr>
              <w:t>(2)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Principals Fund, L.L.C.</w:t>
            </w:r>
            <w:r>
              <w:rPr>
                <w:rFonts w:ascii="Times;serif" w:hAnsi="Times;serif"/>
                <w:color w:val="008000"/>
                <w:position w:val="7"/>
                <w:sz w:val="16"/>
                <w:sz w:val="20"/>
                <w:shd w:fill="FFFFFF" w:val="clear"/>
              </w:rPr>
              <w:t>(3)</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Leadership Fund II, L.P.</w:t>
            </w:r>
            <w:r>
              <w:rPr>
                <w:rFonts w:ascii="Times;serif" w:hAnsi="Times;serif"/>
                <w:color w:val="008000"/>
                <w:position w:val="7"/>
                <w:sz w:val="16"/>
                <w:sz w:val="20"/>
                <w:shd w:fill="FFFFFF" w:val="clear"/>
              </w:rPr>
              <w:t>(4)</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VIII, L.L.C.</w:t>
            </w:r>
            <w:r>
              <w:rPr>
                <w:rFonts w:ascii="Times;serif" w:hAnsi="Times;serif"/>
                <w:color w:val="008000"/>
                <w:position w:val="7"/>
                <w:sz w:val="16"/>
                <w:sz w:val="20"/>
                <w:shd w:fill="FFFFFF" w:val="clear"/>
              </w:rPr>
              <w:t>(9)</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VIII, L.L.C.</w:t>
            </w:r>
            <w:r>
              <w:rPr>
                <w:rFonts w:ascii="Times;serif" w:hAnsi="Times;serif"/>
                <w:color w:val="008000"/>
                <w:position w:val="7"/>
                <w:sz w:val="16"/>
                <w:sz w:val="20"/>
                <w:shd w:fill="FFFFFF" w:val="clear"/>
              </w:rPr>
              <w:t>(9)</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LF II, L.L.C.</w:t>
            </w:r>
            <w:r>
              <w:rPr>
                <w:rFonts w:ascii="Times;serif" w:hAnsi="Times;serif"/>
                <w:color w:val="008000"/>
                <w:position w:val="7"/>
                <w:sz w:val="16"/>
                <w:sz w:val="20"/>
                <w:shd w:fill="FFFFFF" w:val="clear"/>
              </w:rPr>
              <w:t>(12)</w:t>
            </w:r>
          </w:p>
        </w:tc>
      </w:tr>
      <w:tr>
        <w:trPr/>
        <w:tc>
          <w:tcPr>
            <w:tcW w:w="18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(13)</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LF II, L.L.C.</w:t>
            </w:r>
            <w:r>
              <w:rPr>
                <w:rFonts w:ascii="Times;serif" w:hAnsi="Times;serif"/>
                <w:color w:val="008000"/>
                <w:position w:val="7"/>
                <w:sz w:val="16"/>
                <w:sz w:val="20"/>
                <w:shd w:fill="FFFFFF" w:val="clear"/>
              </w:rPr>
              <w:t>(12)</w:t>
            </w:r>
          </w:p>
        </w:tc>
      </w:tr>
    </w:tbl>
    <w:tbl>
      <w:tblPr>
        <w:tblW w:w="1295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1101"/>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1,112,904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9,320,575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VIII, L.P.</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200,751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VIII Principals Fund, LLC</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87,313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731,246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Leadership Fund II, L.P.</w:t>
            </w:r>
            <w:r>
              <w:rPr>
                <w:rFonts w:ascii="Times;serif" w:hAnsi="Times;serif"/>
                <w:color w:val="008000"/>
                <w:position w:val="7"/>
                <w:sz w:val="16"/>
                <w:sz w:val="20"/>
                <w:shd w:fill="FFFFFF" w:val="clear"/>
              </w:rPr>
              <w:t>(4)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Foundation Capital Management Co.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Foundation Capital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Foundation Capital VIII Principals Fund,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Foundation Capital Management Co. LF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Foundation Capital Leadership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was converted into one share of Class A Common Stock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Foundation Capital VIII, L.P. ("FC8"). Foundation Capital Management Co. VIII, L.L.C. ("FCM8") serves as the sole general partner of FC8 and, as such, FCM8 possesses voting and dispositive power over the shares held by FC8, and may be deemed to have indirect beneficial ownership of the shares held by FC8. FCM8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Foundation Capital VIII Principals Fund, L.L.C. ("FC8P"). FCM8 serves as the sole manager of FC8P and, as such, FCM8 possesses voting and dispositive power over the shares held by FC8P, and may be deemed to have indirect beneficial ownership of the shares held by FC8P. FCM8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held by Foundation Capital Leadership Fund II, L.P. ("FCLF2"). Foundation Capital Management Co,. LF II, L.L.C. ("FCMLF2") serves as the sole general partner of FCLF2 and, as such, FCMLF2 possesses voting and dispositive power over the shares held by FCLF2, and may be deemed to have indirect beneficial ownership of the shares held by FCLF2. FCMLF2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 rata, in-kind distribution, and not a purchase or sale of securities, by FC8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pro rata, in-kind distribution, and not a purchase or sale of securities, by FC8P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 pro rata, in-kind distribution, and not a purchase or sale of securities, by FCLF2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receipt of shares in the distributions in kind described in footnotes (5) and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FCM8. FCM8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a pro rata, in-kind distribution, and not a purchase or sale of securities, by FCM8 to its members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receipt of shares in the distribution in kind described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securities are held by FCMLF2. FCMLF2 disclaims beneficial ownership of such securities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a pro rata, in-kind distribution, and not a purchase or sale of securities, by FCMLF2 to its members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Each share of Class B Common Stock is convertible into one share of Class A Common Stock at any time at the option of the holder and does not expire.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Foundation Capital Management Co. VIII, L.L.C., By: /s/ Ashu Garg,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Foundation Capital VIII, L.P., By: Foundation Capital Management Co. VIII, L.L.C., its General Partner, By: /s/ Ashu Garg,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Foundation Capital VIII Principals Fund, L.L.C., By: Foundation Capital Management Co. VIII, L.L.C., its Manager, By: /s/ Ashu Garg,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Foundation Capital Management Co. LF II, L.L.C., By: /s/ Ashu Garg,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Foundation Capital Leadership Fund II, L.P., By: Foundation Capital Management Co. LF II, L.L.C., its General Partner, By: /s/ Ashu Garg,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5076"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45076" TargetMode="External"/><Relationship Id="rId9" Type="http://schemas.openxmlformats.org/officeDocument/2006/relationships/hyperlink" Target="http://www.sec.gov/cgi-bin/browse-edgar?action=getcompany&amp;CIK=0001645077" TargetMode="External"/><Relationship Id="rId10" Type="http://schemas.openxmlformats.org/officeDocument/2006/relationships/hyperlink" Target="http://www.sec.gov/cgi-bin/browse-edgar?action=getcompany&amp;CIK=0001645178" TargetMode="External"/><Relationship Id="rId11" Type="http://schemas.openxmlformats.org/officeDocument/2006/relationships/hyperlink" Target="http://www.sec.gov/cgi-bin/browse-edgar?action=getcompany&amp;CIK=0001804257" TargetMode="External"/><Relationship Id="rId12" Type="http://schemas.openxmlformats.org/officeDocument/2006/relationships/hyperlink" Target="http://www.sec.gov/cgi-bin/browse-edgar?action=getcompany&amp;CIK=0001804258"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1523</Words>
  <Characters>8141</Characters>
  <CharactersWithSpaces>9385</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