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52026_110850.xml.htm"/>
      <w:bookmarkStart w:id="1" w:name="ksform408252026_11085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Vassallo Steven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FOUNDATION CAPITAL</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 HIGH STREET, 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Cerebras Systems Inc.</w:t>
              </w:r>
            </w:hyperlink>
            <w:r>
              <w:rPr/>
              <w:t xml:space="preserve"> [ </w:t>
            </w:r>
            <w:r>
              <w:rPr>
                <w:rFonts w:ascii="Times;serif" w:hAnsi="Times;serif"/>
                <w:color w:val="0000FF"/>
                <w:sz w:val="24"/>
                <w:shd w:fill="FFFFFF" w:val="clear"/>
              </w:rPr>
              <w:t>CBRS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01"/>
        <w:gridCol w:w="929"/>
        <w:gridCol w:w="799"/>
        <w:gridCol w:w="616"/>
        <w:gridCol w:w="337"/>
        <w:gridCol w:w="1163"/>
        <w:gridCol w:w="405"/>
        <w:gridCol w:w="574"/>
        <w:gridCol w:w="1237"/>
        <w:gridCol w:w="951"/>
        <w:gridCol w:w="13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6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9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1,112,904</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1,112,904</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VIII, L.P.</w:t>
            </w:r>
            <w:r>
              <w:rPr>
                <w:rFonts w:ascii="Times;serif" w:hAnsi="Times;serif"/>
                <w:color w:val="008000"/>
                <w:position w:val="7"/>
                <w:sz w:val="16"/>
                <w:sz w:val="20"/>
                <w:shd w:fill="FFFFFF" w:val="clear"/>
              </w:rPr>
              <w:t>(2)</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23,970</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VIII Principals Fund, L.L.C.</w:t>
            </w:r>
            <w:r>
              <w:rPr>
                <w:rFonts w:ascii="Times;serif" w:hAnsi="Times;serif"/>
                <w:color w:val="008000"/>
                <w:position w:val="7"/>
                <w:sz w:val="16"/>
                <w:sz w:val="20"/>
                <w:shd w:fill="FFFFFF" w:val="clear"/>
              </w:rPr>
              <w:t>(3)</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87,313</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87,313</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Leadership Fund II, L.P.</w:t>
            </w:r>
            <w:r>
              <w:rPr>
                <w:rFonts w:ascii="Times;serif" w:hAnsi="Times;serif"/>
                <w:color w:val="008000"/>
                <w:position w:val="7"/>
                <w:sz w:val="16"/>
                <w:sz w:val="20"/>
                <w:shd w:fill="FFFFFF" w:val="clear"/>
              </w:rPr>
              <w:t>(4)</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(5)</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1,112,904</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VIII, L.P.</w:t>
            </w:r>
            <w:r>
              <w:rPr>
                <w:rFonts w:ascii="Times;serif" w:hAnsi="Times;serif"/>
                <w:color w:val="008000"/>
                <w:position w:val="7"/>
                <w:sz w:val="16"/>
                <w:sz w:val="20"/>
                <w:shd w:fill="FFFFFF" w:val="clear"/>
              </w:rPr>
              <w:t>(2)</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(6)</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23,970</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VIII Principals Fund, L.L.C.</w:t>
            </w:r>
            <w:r>
              <w:rPr>
                <w:rFonts w:ascii="Times;serif" w:hAnsi="Times;serif"/>
                <w:color w:val="008000"/>
                <w:position w:val="7"/>
                <w:sz w:val="16"/>
                <w:sz w:val="20"/>
                <w:shd w:fill="FFFFFF" w:val="clear"/>
              </w:rPr>
              <w:t>(3)</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(7)</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87,313</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Leadership Fund II, L.P.</w:t>
            </w:r>
            <w:r>
              <w:rPr>
                <w:rFonts w:ascii="Times;serif" w:hAnsi="Times;serif"/>
                <w:color w:val="008000"/>
                <w:position w:val="7"/>
                <w:sz w:val="16"/>
                <w:sz w:val="20"/>
                <w:shd w:fill="FFFFFF" w:val="clear"/>
              </w:rPr>
              <w:t>(4)</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(8)</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287,932</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287,932</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Management Co. VIII, L.L.C.</w:t>
            </w:r>
            <w:r>
              <w:rPr>
                <w:rFonts w:ascii="Times;serif" w:hAnsi="Times;serif"/>
                <w:color w:val="008000"/>
                <w:position w:val="7"/>
                <w:sz w:val="16"/>
                <w:sz w:val="20"/>
                <w:shd w:fill="FFFFFF" w:val="clear"/>
              </w:rPr>
              <w:t>(9)</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(10)</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287,932</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Management Co. VIII, L.L.C.</w:t>
            </w:r>
            <w:r>
              <w:rPr>
                <w:rFonts w:ascii="Times;serif" w:hAnsi="Times;serif"/>
                <w:color w:val="008000"/>
                <w:position w:val="7"/>
                <w:sz w:val="16"/>
                <w:sz w:val="20"/>
                <w:shd w:fill="FFFFFF" w:val="clear"/>
              </w:rPr>
              <w:t>(9)</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18,155</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18,155</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Management Co. LF II, L.L.C.</w:t>
            </w:r>
            <w:r>
              <w:rPr>
                <w:rFonts w:ascii="Times;serif" w:hAnsi="Times;serif"/>
                <w:color w:val="008000"/>
                <w:position w:val="7"/>
                <w:sz w:val="16"/>
                <w:sz w:val="20"/>
                <w:shd w:fill="FFFFFF" w:val="clear"/>
              </w:rPr>
              <w:t>(12)</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(13)</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18,155</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Foundation Capital Management Co. LF II, L.L.C.</w:t>
            </w:r>
            <w:r>
              <w:rPr>
                <w:rFonts w:ascii="Times;serif" w:hAnsi="Times;serif"/>
                <w:color w:val="008000"/>
                <w:position w:val="7"/>
                <w:sz w:val="16"/>
                <w:sz w:val="20"/>
                <w:shd w:fill="FFFFFF" w:val="clear"/>
              </w:rPr>
              <w:t>(12)</w:t>
            </w:r>
          </w:p>
        </w:tc>
      </w:tr>
      <w:tr>
        <w:trPr/>
        <w:tc>
          <w:tcPr>
            <w:tcW w:w="18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(14)</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67,168</w:t>
            </w:r>
          </w:p>
        </w:tc>
        <w:tc>
          <w:tcPr>
            <w:tcW w:w="4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221,977</w:t>
            </w:r>
          </w:p>
        </w:tc>
        <w:tc>
          <w:tcPr>
            <w:tcW w:w="9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Revocable Trust</w:t>
            </w:r>
            <w:r>
              <w:rPr>
                <w:rFonts w:ascii="Times;serif" w:hAnsi="Times;serif"/>
                <w:color w:val="008000"/>
                <w:position w:val="7"/>
                <w:sz w:val="16"/>
                <w:sz w:val="20"/>
                <w:shd w:fill="FFFFFF" w:val="clear"/>
              </w:rPr>
              <w:t>(15)</w:t>
            </w:r>
          </w:p>
        </w:tc>
      </w:tr>
      <w:tr>
        <w:trPr/>
        <w:tc>
          <w:tcPr>
            <w:tcW w:w="18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(16)</w:t>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34,548</w:t>
            </w:r>
          </w:p>
        </w:tc>
        <w:tc>
          <w:tcPr>
            <w:tcW w:w="4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139,618</w:t>
            </w:r>
          </w:p>
        </w:tc>
        <w:tc>
          <w:tcPr>
            <w:tcW w:w="9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9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Irrevocable Trust</w:t>
            </w:r>
            <w:r>
              <w:rPr>
                <w:rFonts w:ascii="Times;serif" w:hAnsi="Times;serif"/>
                <w:color w:val="008000"/>
                <w:position w:val="7"/>
                <w:sz w:val="16"/>
                <w:sz w:val="20"/>
                <w:shd w:fill="FFFFFF" w:val="clear"/>
              </w:rPr>
              <w:t>(17)</w:t>
            </w:r>
          </w:p>
        </w:tc>
      </w:tr>
    </w:tbl>
    <w:tbl>
      <w:tblPr>
        <w:tblW w:w="1295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966"/>
        <w:gridCol w:w="831"/>
        <w:gridCol w:w="1101"/>
      </w:tblGrid>
      <w:tr>
        <w:trPr>
          <w:tblHeader w:val="true"/>
        </w:trPr>
        <w:tc>
          <w:tcPr>
            <w:tcW w:w="129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0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1,112,904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1,112,904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9,320,575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Foundation Capital VIII, L.P.</w:t>
            </w:r>
            <w:r>
              <w:rPr>
                <w:rFonts w:ascii="Times;serif" w:hAnsi="Times;serif"/>
                <w:color w:val="008000"/>
                <w:position w:val="7"/>
                <w:sz w:val="16"/>
                <w:sz w:val="20"/>
                <w:shd w:fill="FFFFFF" w:val="clear"/>
              </w:rPr>
              <w:t>(2)</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23,970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200,751</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Foundation Capital VIII Principals Fund, LLC</w:t>
            </w:r>
            <w:r>
              <w:rPr>
                <w:rFonts w:ascii="Times;serif" w:hAnsi="Times;serif"/>
                <w:color w:val="008000"/>
                <w:position w:val="7"/>
                <w:sz w:val="16"/>
                <w:sz w:val="20"/>
                <w:shd w:fill="FFFFFF" w:val="clear"/>
              </w:rPr>
              <w:t>(3)</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87,313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87,313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731,246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Foundation Capital Leadership Fund II, L.P.</w:t>
            </w:r>
            <w:r>
              <w:rPr>
                <w:rFonts w:ascii="Times;serif" w:hAnsi="Times;serif"/>
                <w:color w:val="008000"/>
                <w:position w:val="7"/>
                <w:sz w:val="16"/>
                <w:sz w:val="20"/>
                <w:shd w:fill="FFFFFF" w:val="clear"/>
              </w:rPr>
              <w:t>(4)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share of Class B Common Stock was converted into one share of Class A Common Stock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Securities are directly held by Foundation Capital VIII, L.P. ("FC8"). Foundation Capital Management Co. VIII, L.L.C. ("FCM8") is the general partner of FC8. The Reporting Person is a manager of FCM8 and may be deemed to beneficially own such shares. The Reporting Person disclaims beneficial ownership of the securities reported herein,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Securities are directly held by Foundation Capital VIII Principals Fund, L.L.C. ("FC8P"). Foundation Capital Management Co. VIII, L.L.C. ("FCM8") is the manager of FC8P. The Reporting Person is a manager of FCM8 and may be deemed to beneficially own such shares. The Reporting Person disclaims beneficial ownership of the securities reported herein,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Securities are directly held by Foundation Capital Leadership Fund II, L.P. ("FCLF2"). Foundation Capital Management Co. LF II, L.L.C. ("FCMLF2") is the general partner of FCLF2. The Reporting Person is a manager of FCMLF2 and may be deemed to beneficially own such shares. The Reporting Person disclaims beneficial ownership of the securities reported herein,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a pro rata, in-kind distribution, and not a purchase or sale of securities, by FC8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a pro rata, in-kind distribution, and not a purchase or sale of securities, by FC8P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a pro rata, in-kind distribution, and not a purchase or sale of securities, by FCLF2 to its general partner and limited partners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receipt of shares in the distributions in kind described in footnotes (5) and (6).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Securities are directly held by FCM8. The Reporting Person is a manager of FCM8 and may be deemed to beneficially own such shares. The Reporting Person disclaims beneficial ownership of the securities reported herein,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Represents a pro rata, in-kind distribution, and not a purchase or sale of securities, by FCM8 to its members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Represents receipt of shares in the distribution in kind described in footnote (7).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Securities are directly held by FCMLF2. The Reporting Person is a manager of FCMLF2 and may be deemed to beneficially own such shares. The Reporting Person disclaims beneficial ownership of the securities reported herein,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Represents a pro rata, in-kind distribution, and not a purchase or sale of securities, by FCMLF2 to its members without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14. Represents receipt of shares in the distributions in kind described in footnotes (6), (10) and (13).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15. The securities are held by a revocable family trust, of which the Reporting Person is a co-trustee. The Reporting Person disclaims beneficial ownership of such shares except to the extent of his proportionate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16. Represents receipt of shares in the distributions in kind described in footnotes (10) and (13).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17. The securities are held by an irrevocable GST trust, of which the Reporting Person is a co-trustee. The Reporting Person disclaims beneficial ownership of these shares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18. Each share of Class B Common Stock is convertible into one share of Class A Common Stock at any time at the option of the holder and does not expire.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Vassallo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7929" TargetMode="External"/><Relationship Id="rId5" Type="http://schemas.openxmlformats.org/officeDocument/2006/relationships/hyperlink" Target="http://www.sec.gov/cgi-bin/browse-edgar?action=getcompany&amp;CIK=00020217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1424</Words>
  <Characters>7560</Characters>
  <CharactersWithSpaces>8761</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