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813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8133080"/>
                    </a:xfrm>
                    <a:prstGeom prst="rect">
                      <a:avLst/>
                    </a:prstGeom>
                    <a:noFill/>
                  </pic:spPr>
                </pic:pic>
              </a:graphicData>
            </a:graphic>
          </wp:anchor>
        </w:drawing>
      </w:r>
    </w:p>
    <w:p>
      <w:pPr>
        <w:spacing w:after="0" w:line="1244" w:lineRule="exact"/>
        <w:rPr>
          <w:sz w:val="24"/>
          <w:szCs w:val="24"/>
          <w:color w:val="auto"/>
        </w:rPr>
      </w:pPr>
    </w:p>
    <w:p>
      <w:pPr>
        <w:sectPr>
          <w:pgSz w:w="11900" w:h="16921"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Feldman Andrew 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CEREBRAS SYSTEMS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1237 E. ARQUES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Cerebras Systems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CBRS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06/25/2026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57"/>
        <w:spacing w:after="0"/>
        <w:rPr>
          <w:sz w:val="20"/>
          <w:szCs w:val="20"/>
          <w:color w:val="auto"/>
        </w:rPr>
      </w:pPr>
      <w:r>
        <w:rPr>
          <w:rFonts w:ascii="Times New Roman" w:cs="Times New Roman" w:eastAsia="Times New Roman" w:hAnsi="Times New Roman"/>
          <w:sz w:val="17"/>
          <w:szCs w:val="17"/>
          <w:color w:val="0000FF"/>
        </w:rPr>
        <w:t>CEO, President</w:t>
      </w:r>
    </w:p>
    <w:p>
      <w:pPr>
        <w:spacing w:after="0" w:line="411" w:lineRule="exact"/>
        <w:rPr>
          <w:sz w:val="24"/>
          <w:szCs w:val="24"/>
          <w:color w:val="auto"/>
        </w:rPr>
      </w:pPr>
    </w:p>
    <w:p>
      <w:pPr>
        <w:sectPr>
          <w:pgSz w:w="11900" w:h="16921" w:orient="portrait"/>
          <w:cols w:equalWidth="0" w:num="3">
            <w:col w:w="3180" w:space="720"/>
            <w:col w:w="3103" w:space="720"/>
            <w:col w:w="3357"/>
          </w:cols>
          <w:pgMar w:left="460" w:top="217" w:right="359" w:bottom="0"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SUNNYVALE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94085</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921" w:orient="portrait"/>
          <w:cols w:equalWidth="0" w:num="2">
            <w:col w:w="3740" w:space="16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64"/>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7"/>
                <w:szCs w:val="17"/>
                <w:color w:val="0000FF"/>
                <w:w w:val="98"/>
              </w:rPr>
              <w:t>06/25/2026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17,990</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tcBorders>
              <w:bottom w:val="single" w:sz="8" w:color="2C2C2C"/>
            </w:tcBorders>
          </w:tcPr>
          <w:p>
            <w:pPr>
              <w:jc w:val="center"/>
              <w:ind w:left="84"/>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17,990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7"/>
                <w:szCs w:val="17"/>
                <w:color w:val="0000FF"/>
                <w:w w:val="98"/>
              </w:rPr>
              <w:t>06/25/2026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4,028</w:t>
            </w:r>
            <w:r>
              <w:rPr>
                <w:rFonts w:ascii="Times New Roman" w:cs="Times New Roman" w:eastAsia="Times New Roman" w:hAnsi="Times New Roman"/>
                <w:sz w:val="21"/>
                <w:szCs w:val="21"/>
                <w:color w:val="008000"/>
                <w:w w:val="91"/>
                <w:vertAlign w:val="superscript"/>
              </w:rPr>
              <w:t>(2)</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169.07</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13,962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7"/>
                <w:szCs w:val="17"/>
                <w:color w:val="0000FF"/>
                <w:w w:val="98"/>
              </w:rPr>
              <w:t>06/25/2026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8,602</w:t>
            </w:r>
            <w:r>
              <w:rPr>
                <w:rFonts w:ascii="Times New Roman" w:cs="Times New Roman" w:eastAsia="Times New Roman" w:hAnsi="Times New Roman"/>
                <w:sz w:val="21"/>
                <w:szCs w:val="21"/>
                <w:color w:val="008000"/>
                <w:w w:val="91"/>
                <w:vertAlign w:val="superscript"/>
              </w:rPr>
              <w:t>(2)</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170.58</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5,360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7"/>
                <w:szCs w:val="17"/>
                <w:color w:val="0000FF"/>
                <w:w w:val="98"/>
              </w:rPr>
              <w:t>06/25/2026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700</w:t>
            </w:r>
            <w:r>
              <w:rPr>
                <w:rFonts w:ascii="Times New Roman" w:cs="Times New Roman" w:eastAsia="Times New Roman" w:hAnsi="Times New Roman"/>
                <w:sz w:val="21"/>
                <w:szCs w:val="21"/>
                <w:color w:val="008000"/>
                <w:w w:val="90"/>
                <w:vertAlign w:val="superscript"/>
              </w:rPr>
              <w:t>(2)</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171.53</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4,660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7"/>
                <w:szCs w:val="17"/>
                <w:color w:val="0000FF"/>
                <w:w w:val="98"/>
              </w:rPr>
              <w:t>06/25/2026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160</w:t>
            </w:r>
            <w:r>
              <w:rPr>
                <w:rFonts w:ascii="Times New Roman" w:cs="Times New Roman" w:eastAsia="Times New Roman" w:hAnsi="Times New Roman"/>
                <w:sz w:val="21"/>
                <w:szCs w:val="21"/>
                <w:color w:val="008000"/>
                <w:w w:val="90"/>
                <w:vertAlign w:val="superscript"/>
              </w:rPr>
              <w:t>(2)</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172.03</w:t>
            </w:r>
            <w:r>
              <w:rPr>
                <w:rFonts w:ascii="Times New Roman" w:cs="Times New Roman" w:eastAsia="Times New Roman" w:hAnsi="Times New Roman"/>
                <w:sz w:val="21"/>
                <w:szCs w:val="21"/>
                <w:color w:val="008000"/>
                <w:w w:val="93"/>
                <w:vertAlign w:val="superscript"/>
              </w:rPr>
              <w:t>(6)</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4,500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7"/>
                <w:szCs w:val="17"/>
                <w:color w:val="0000FF"/>
                <w:w w:val="98"/>
              </w:rPr>
              <w:t>06/25/2026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line="309" w:lineRule="exact"/>
              <w:rPr>
                <w:sz w:val="20"/>
                <w:szCs w:val="20"/>
                <w:color w:val="auto"/>
              </w:rPr>
            </w:pPr>
            <w:r>
              <w:rPr>
                <w:rFonts w:ascii="Times New Roman" w:cs="Times New Roman" w:eastAsia="Times New Roman" w:hAnsi="Times New Roman"/>
                <w:sz w:val="33"/>
                <w:szCs w:val="33"/>
                <w:color w:val="0000FF"/>
                <w:w w:val="82"/>
                <w:vertAlign w:val="subscript"/>
              </w:rPr>
              <w:t>400</w:t>
            </w:r>
            <w:r>
              <w:rPr>
                <w:rFonts w:ascii="Times New Roman" w:cs="Times New Roman" w:eastAsia="Times New Roman" w:hAnsi="Times New Roman"/>
                <w:sz w:val="11"/>
                <w:szCs w:val="11"/>
                <w:color w:val="008000"/>
                <w:w w:val="82"/>
              </w:rPr>
              <w:t>(2)</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gridSpan w:val="2"/>
          </w:tcPr>
          <w:p>
            <w:pPr>
              <w:jc w:val="center"/>
              <w:ind w:left="24"/>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173.5</w:t>
            </w:r>
            <w:r>
              <w:rPr>
                <w:rFonts w:ascii="Times New Roman" w:cs="Times New Roman" w:eastAsia="Times New Roman" w:hAnsi="Times New Roman"/>
                <w:sz w:val="21"/>
                <w:szCs w:val="21"/>
                <w:color w:val="008000"/>
                <w:w w:val="93"/>
                <w:vertAlign w:val="superscript"/>
              </w:rPr>
              <w:t>(7)</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4,100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7"/>
                <w:szCs w:val="17"/>
                <w:color w:val="0000FF"/>
                <w:w w:val="98"/>
              </w:rPr>
              <w:t>06/25/2026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300</w:t>
            </w:r>
            <w:r>
              <w:rPr>
                <w:rFonts w:ascii="Times New Roman" w:cs="Times New Roman" w:eastAsia="Times New Roman" w:hAnsi="Times New Roman"/>
                <w:sz w:val="21"/>
                <w:szCs w:val="21"/>
                <w:color w:val="008000"/>
                <w:w w:val="90"/>
                <w:vertAlign w:val="superscript"/>
              </w:rPr>
              <w:t>(2)</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gridSpan w:val="2"/>
          </w:tcPr>
          <w:p>
            <w:pPr>
              <w:jc w:val="center"/>
              <w:ind w:left="24"/>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175.7</w:t>
            </w:r>
            <w:r>
              <w:rPr>
                <w:rFonts w:ascii="Times New Roman" w:cs="Times New Roman" w:eastAsia="Times New Roman" w:hAnsi="Times New Roman"/>
                <w:sz w:val="21"/>
                <w:szCs w:val="21"/>
                <w:color w:val="008000"/>
                <w:w w:val="93"/>
                <w:vertAlign w:val="superscript"/>
              </w:rPr>
              <w:t>(8)</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3,800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7"/>
                <w:szCs w:val="17"/>
                <w:color w:val="0000FF"/>
                <w:w w:val="98"/>
              </w:rPr>
              <w:t>06/25/2026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300</w:t>
            </w:r>
            <w:r>
              <w:rPr>
                <w:rFonts w:ascii="Times New Roman" w:cs="Times New Roman" w:eastAsia="Times New Roman" w:hAnsi="Times New Roman"/>
                <w:sz w:val="21"/>
                <w:szCs w:val="21"/>
                <w:color w:val="008000"/>
                <w:w w:val="90"/>
                <w:vertAlign w:val="superscript"/>
              </w:rPr>
              <w:t>(2)</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178.81</w:t>
            </w:r>
            <w:r>
              <w:rPr>
                <w:rFonts w:ascii="Times New Roman" w:cs="Times New Roman" w:eastAsia="Times New Roman" w:hAnsi="Times New Roman"/>
                <w:sz w:val="21"/>
                <w:szCs w:val="21"/>
                <w:color w:val="008000"/>
                <w:w w:val="93"/>
                <w:vertAlign w:val="superscript"/>
              </w:rPr>
              <w:t>(9)</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3,500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7"/>
                <w:szCs w:val="17"/>
                <w:color w:val="0000FF"/>
                <w:w w:val="98"/>
              </w:rPr>
              <w:t>06/25/2026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400</w:t>
            </w:r>
            <w:r>
              <w:rPr>
                <w:rFonts w:ascii="Times New Roman" w:cs="Times New Roman" w:eastAsia="Times New Roman" w:hAnsi="Times New Roman"/>
                <w:sz w:val="21"/>
                <w:szCs w:val="21"/>
                <w:color w:val="008000"/>
                <w:w w:val="90"/>
                <w:vertAlign w:val="superscript"/>
              </w:rPr>
              <w:t>(2)</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180.25</w:t>
            </w:r>
            <w:r>
              <w:rPr>
                <w:rFonts w:ascii="Times New Roman" w:cs="Times New Roman" w:eastAsia="Times New Roman" w:hAnsi="Times New Roman"/>
                <w:sz w:val="21"/>
                <w:szCs w:val="21"/>
                <w:color w:val="008000"/>
                <w:w w:val="90"/>
                <w:vertAlign w:val="superscript"/>
              </w:rPr>
              <w:t>(10)</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3,100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7"/>
                <w:szCs w:val="17"/>
                <w:color w:val="0000FF"/>
                <w:w w:val="98"/>
              </w:rPr>
              <w:t>06/25/2026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500</w:t>
            </w:r>
            <w:r>
              <w:rPr>
                <w:rFonts w:ascii="Times New Roman" w:cs="Times New Roman" w:eastAsia="Times New Roman" w:hAnsi="Times New Roman"/>
                <w:sz w:val="21"/>
                <w:szCs w:val="21"/>
                <w:color w:val="008000"/>
                <w:w w:val="90"/>
                <w:vertAlign w:val="superscript"/>
              </w:rPr>
              <w:t>(2)</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181.15</w:t>
            </w:r>
            <w:r>
              <w:rPr>
                <w:rFonts w:ascii="Times New Roman" w:cs="Times New Roman" w:eastAsia="Times New Roman" w:hAnsi="Times New Roman"/>
                <w:sz w:val="21"/>
                <w:szCs w:val="21"/>
                <w:color w:val="008000"/>
                <w:w w:val="90"/>
                <w:vertAlign w:val="superscript"/>
              </w:rPr>
              <w:t>(11)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2,600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7"/>
                <w:szCs w:val="17"/>
                <w:color w:val="0000FF"/>
                <w:w w:val="98"/>
              </w:rPr>
              <w:t>06/25/2026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line="309" w:lineRule="exact"/>
              <w:rPr>
                <w:sz w:val="20"/>
                <w:szCs w:val="20"/>
                <w:color w:val="auto"/>
              </w:rPr>
            </w:pPr>
            <w:r>
              <w:rPr>
                <w:rFonts w:ascii="Times New Roman" w:cs="Times New Roman" w:eastAsia="Times New Roman" w:hAnsi="Times New Roman"/>
                <w:sz w:val="33"/>
                <w:szCs w:val="33"/>
                <w:color w:val="0000FF"/>
                <w:w w:val="82"/>
                <w:vertAlign w:val="subscript"/>
              </w:rPr>
              <w:t>400</w:t>
            </w:r>
            <w:r>
              <w:rPr>
                <w:rFonts w:ascii="Times New Roman" w:cs="Times New Roman" w:eastAsia="Times New Roman" w:hAnsi="Times New Roman"/>
                <w:sz w:val="11"/>
                <w:szCs w:val="11"/>
                <w:color w:val="008000"/>
                <w:w w:val="82"/>
              </w:rPr>
              <w:t>(2)</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182.55</w:t>
            </w:r>
            <w:r>
              <w:rPr>
                <w:rFonts w:ascii="Times New Roman" w:cs="Times New Roman" w:eastAsia="Times New Roman" w:hAnsi="Times New Roman"/>
                <w:sz w:val="21"/>
                <w:szCs w:val="21"/>
                <w:color w:val="008000"/>
                <w:w w:val="90"/>
                <w:vertAlign w:val="superscript"/>
              </w:rPr>
              <w:t>(12)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2,200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7"/>
                <w:szCs w:val="17"/>
                <w:color w:val="0000FF"/>
                <w:w w:val="98"/>
              </w:rPr>
              <w:t>06/25/2026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line="309" w:lineRule="exact"/>
              <w:rPr>
                <w:sz w:val="20"/>
                <w:szCs w:val="20"/>
                <w:color w:val="auto"/>
              </w:rPr>
            </w:pPr>
            <w:r>
              <w:rPr>
                <w:rFonts w:ascii="Times New Roman" w:cs="Times New Roman" w:eastAsia="Times New Roman" w:hAnsi="Times New Roman"/>
                <w:sz w:val="33"/>
                <w:szCs w:val="33"/>
                <w:color w:val="0000FF"/>
                <w:w w:val="82"/>
                <w:vertAlign w:val="subscript"/>
              </w:rPr>
              <w:t>500</w:t>
            </w:r>
            <w:r>
              <w:rPr>
                <w:rFonts w:ascii="Times New Roman" w:cs="Times New Roman" w:eastAsia="Times New Roman" w:hAnsi="Times New Roman"/>
                <w:sz w:val="11"/>
                <w:szCs w:val="11"/>
                <w:color w:val="008000"/>
                <w:w w:val="82"/>
              </w:rPr>
              <w:t>(2)</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183.71</w:t>
            </w:r>
            <w:r>
              <w:rPr>
                <w:rFonts w:ascii="Times New Roman" w:cs="Times New Roman" w:eastAsia="Times New Roman" w:hAnsi="Times New Roman"/>
                <w:sz w:val="21"/>
                <w:szCs w:val="21"/>
                <w:color w:val="008000"/>
                <w:w w:val="90"/>
                <w:vertAlign w:val="superscript"/>
              </w:rPr>
              <w:t>(13)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1,700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7"/>
                <w:szCs w:val="17"/>
                <w:color w:val="0000FF"/>
                <w:w w:val="98"/>
              </w:rPr>
              <w:t>06/25/2026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1,700</w:t>
            </w:r>
            <w:r>
              <w:rPr>
                <w:rFonts w:ascii="Times New Roman" w:cs="Times New Roman" w:eastAsia="Times New Roman" w:hAnsi="Times New Roman"/>
                <w:sz w:val="21"/>
                <w:szCs w:val="21"/>
                <w:color w:val="008000"/>
                <w:w w:val="91"/>
                <w:vertAlign w:val="superscript"/>
              </w:rPr>
              <w:t>(2)</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184.73</w:t>
            </w:r>
            <w:r>
              <w:rPr>
                <w:rFonts w:ascii="Times New Roman" w:cs="Times New Roman" w:eastAsia="Times New Roman" w:hAnsi="Times New Roman"/>
                <w:sz w:val="21"/>
                <w:szCs w:val="21"/>
                <w:color w:val="008000"/>
                <w:w w:val="90"/>
                <w:vertAlign w:val="superscript"/>
              </w:rPr>
              <w:t>(14)</w:t>
            </w: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58"/>
              <w:spacing w:after="0"/>
              <w:rPr>
                <w:sz w:val="20"/>
                <w:szCs w:val="20"/>
                <w:color w:val="auto"/>
              </w:rPr>
            </w:pPr>
            <w:r>
              <w:rPr>
                <w:rFonts w:ascii="Times New Roman" w:cs="Times New Roman" w:eastAsia="Times New Roman" w:hAnsi="Times New Roman"/>
                <w:sz w:val="17"/>
                <w:szCs w:val="17"/>
                <w:color w:val="0000FF"/>
                <w:w w:val="93"/>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2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06"/>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17,990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06/25/2026</w:t>
            </w:r>
          </w:p>
        </w:tc>
        <w:tc>
          <w:tcPr>
            <w:tcW w:w="1140" w:type="dxa"/>
            <w:vAlign w:val="bottom"/>
          </w:tcPr>
          <w:p>
            <w:pPr>
              <w:spacing w:after="0"/>
              <w:rPr>
                <w:sz w:val="12"/>
                <w:szCs w:val="12"/>
                <w:color w:val="auto"/>
              </w:rPr>
            </w:pPr>
          </w:p>
        </w:tc>
        <w:tc>
          <w:tcPr>
            <w:tcW w:w="44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C</w:t>
            </w:r>
          </w:p>
        </w:tc>
        <w:tc>
          <w:tcPr>
            <w:tcW w:w="420" w:type="dxa"/>
            <w:vAlign w:val="bottom"/>
          </w:tcPr>
          <w:p>
            <w:pPr>
              <w:spacing w:after="0"/>
              <w:rPr>
                <w:sz w:val="12"/>
                <w:szCs w:val="12"/>
                <w:color w:val="auto"/>
              </w:rPr>
            </w:pPr>
          </w:p>
        </w:tc>
        <w:tc>
          <w:tcPr>
            <w:tcW w:w="68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w w:val="94"/>
              </w:rPr>
              <w:t>17,990</w:t>
            </w: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14,038,631</w:t>
            </w: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50,000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GRAT</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restart"/>
          </w:tcPr>
          <w:p>
            <w:pPr>
              <w:jc w:val="center"/>
              <w:ind w:left="238"/>
              <w:spacing w:after="0" w:line="142" w:lineRule="exact"/>
              <w:rPr>
                <w:sz w:val="20"/>
                <w:szCs w:val="20"/>
                <w:color w:val="auto"/>
              </w:rPr>
            </w:pPr>
            <w:r>
              <w:rPr>
                <w:rFonts w:ascii="Times New Roman" w:cs="Times New Roman" w:eastAsia="Times New Roman" w:hAnsi="Times New Roman"/>
                <w:sz w:val="13"/>
                <w:szCs w:val="13"/>
                <w:color w:val="0000FF"/>
                <w:w w:val="94"/>
              </w:rPr>
              <w:t>50,000</w:t>
            </w:r>
          </w:p>
        </w:tc>
        <w:tc>
          <w:tcPr>
            <w:tcW w:w="280" w:type="dxa"/>
            <w:vAlign w:val="bottom"/>
          </w:tcPr>
          <w:p>
            <w:pPr>
              <w:spacing w:after="0"/>
              <w:rPr>
                <w:sz w:val="5"/>
                <w:szCs w:val="5"/>
                <w:color w:val="auto"/>
              </w:rPr>
            </w:pPr>
          </w:p>
        </w:tc>
        <w:tc>
          <w:tcPr>
            <w:tcW w:w="66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1</w:t>
            </w: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50,000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GRAT</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restart"/>
          </w:tcPr>
          <w:p>
            <w:pPr>
              <w:jc w:val="center"/>
              <w:ind w:left="238"/>
              <w:spacing w:after="0" w:line="142" w:lineRule="exact"/>
              <w:rPr>
                <w:sz w:val="20"/>
                <w:szCs w:val="20"/>
                <w:color w:val="auto"/>
              </w:rPr>
            </w:pPr>
            <w:r>
              <w:rPr>
                <w:rFonts w:ascii="Times New Roman" w:cs="Times New Roman" w:eastAsia="Times New Roman" w:hAnsi="Times New Roman"/>
                <w:sz w:val="13"/>
                <w:szCs w:val="13"/>
                <w:color w:val="0000FF"/>
                <w:w w:val="94"/>
              </w:rPr>
              <w:t>50,000</w:t>
            </w:r>
          </w:p>
        </w:tc>
        <w:tc>
          <w:tcPr>
            <w:tcW w:w="280" w:type="dxa"/>
            <w:vAlign w:val="bottom"/>
          </w:tcPr>
          <w:p>
            <w:pPr>
              <w:spacing w:after="0"/>
              <w:rPr>
                <w:sz w:val="5"/>
                <w:szCs w:val="5"/>
                <w:color w:val="auto"/>
              </w:rPr>
            </w:pPr>
          </w:p>
        </w:tc>
        <w:tc>
          <w:tcPr>
            <w:tcW w:w="66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2</w:t>
            </w: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-2717165</wp:posOffset>
            </wp:positionV>
            <wp:extent cx="29210" cy="2722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222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Class B Common Stock is convertible into an equal number of Class A Common Stock at any time, at the Reporting Person's election, and has no expiration date.</w:t>
      </w:r>
    </w:p>
    <w:p>
      <w:pPr>
        <w:spacing w:after="0" w:line="44" w:lineRule="exact"/>
        <w:rPr>
          <w:rFonts w:ascii="Times New Roman" w:cs="Times New Roman" w:eastAsia="Times New Roman" w:hAnsi="Times New Roman"/>
          <w:sz w:val="13"/>
          <w:szCs w:val="13"/>
          <w:color w:val="008000"/>
        </w:rPr>
      </w:pPr>
    </w:p>
    <w:p>
      <w:pPr>
        <w:ind w:left="40" w:right="200" w:firstLine="2"/>
        <w:spacing w:after="0" w:line="272"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were sold by the Reporting Person to cover tax withholding obligations in connection with the settlement of restricted stock units, resulting in the automatic conversion of the shares into Class A Common Stock immediately prior to execution of the sale. The sale was to satisfy tax withholding obligations to be funded by a "sell to cover" transaction and does not represent a discretionary transaction by the Reporting Person. The Reporting Person is subject to a lock-up agreement that that was entered into with underwriters in connection with the Issuer's initial public offering and expires on the earlier of (i)</w:t>
      </w:r>
    </w:p>
    <w:p>
      <w:pPr>
        <w:sectPr>
          <w:pgSz w:w="11900" w:h="16921" w:orient="portrait"/>
          <w:cols w:equalWidth="0" w:num="1">
            <w:col w:w="11080"/>
          </w:cols>
          <w:pgMar w:left="460" w:top="217" w:right="359" w:bottom="0" w:gutter="0" w:footer="0" w:header="0"/>
          <w:type w:val="continuous"/>
        </w:sectPr>
      </w:pPr>
    </w:p>
    <w:bookmarkStart w:id="1" w:name="page2"/>
    <w:bookmarkEnd w:id="1"/>
    <w:p>
      <w:pPr>
        <w:spacing w:after="0" w:line="256" w:lineRule="auto"/>
        <w:rPr>
          <w:sz w:val="20"/>
          <w:szCs w:val="20"/>
          <w:color w:val="auto"/>
        </w:rPr>
      </w:pPr>
      <w:r>
        <w:rPr>
          <w:rFonts w:ascii="Times New Roman" w:cs="Times New Roman" w:eastAsia="Times New Roman" w:hAnsi="Times New Roman"/>
          <w:sz w:val="13"/>
          <w:szCs w:val="13"/>
          <w:color w:val="008000"/>
        </w:rPr>
        <w:t>6:00 a.m. Eastern Time on the second trading day following the Issuer's release of earnings for the quarter ending September 30, 2026 or (ii) November 9, 2026. The sale of shares is a permissible exemption under the terms of the lock-up agreement.</w:t>
      </w:r>
    </w:p>
    <w:p>
      <w:pPr>
        <w:spacing w:after="0" w:line="17" w:lineRule="exact"/>
        <w:rPr>
          <w:sz w:val="20"/>
          <w:szCs w:val="20"/>
          <w:color w:val="auto"/>
        </w:rPr>
      </w:pPr>
    </w:p>
    <w:p>
      <w:pPr>
        <w:ind w:right="240" w:firstLine="2"/>
        <w:spacing w:after="0" w:line="256"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$168.90 to $169.87,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right="240" w:firstLine="2"/>
        <w:spacing w:after="0" w:line="256"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$169.90 to $170.60,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right="240" w:firstLine="2"/>
        <w:spacing w:after="0" w:line="256"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$170.90 to $171.71,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right="240" w:firstLine="2"/>
        <w:spacing w:after="0" w:line="256"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$171.92 to $172.09,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right="240" w:firstLine="2"/>
        <w:spacing w:after="0" w:line="256"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$173.18 to $173.81,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right="240" w:firstLine="2"/>
        <w:spacing w:after="0" w:line="256"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$175.61 to $175.87,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right="240" w:firstLine="2"/>
        <w:spacing w:after="0" w:line="256"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$178.51 to $179.06,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right="180" w:firstLine="2"/>
        <w:spacing w:after="0" w:line="256" w:lineRule="auto"/>
        <w:tabs>
          <w:tab w:leader="none" w:pos="194"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$179.79 to $180.69,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right="180" w:firstLine="2"/>
        <w:spacing w:after="0" w:line="256" w:lineRule="auto"/>
        <w:tabs>
          <w:tab w:leader="none" w:pos="18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$181.01 to $181.26,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right="180" w:firstLine="2"/>
        <w:spacing w:after="0" w:line="256" w:lineRule="auto"/>
        <w:tabs>
          <w:tab w:leader="none" w:pos="194"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$182.28 to $183.14,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right="180" w:firstLine="2"/>
        <w:spacing w:after="0" w:line="256" w:lineRule="auto"/>
        <w:tabs>
          <w:tab w:leader="none" w:pos="194"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$183.51 to $184.04,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right="180" w:firstLine="2"/>
        <w:spacing w:after="0" w:line="256" w:lineRule="auto"/>
        <w:tabs>
          <w:tab w:leader="none" w:pos="194"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$184.51 to $185.01, inclusive. Upon request by the staff of the Securities and Exchange commission, the Issuer, or a security holder of the Issuer, the Reporting Person will provide full information regarding the number of shares sold at each separate price.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Robert Mills, Attorney-in-</w:t>
            </w:r>
          </w:p>
        </w:tc>
        <w:tc>
          <w:tcPr>
            <w:tcW w:w="2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06/29/2026</w:t>
            </w:r>
          </w:p>
        </w:tc>
        <w:tc>
          <w:tcPr>
            <w:tcW w:w="0" w:type="dxa"/>
            <w:vAlign w:val="bottom"/>
          </w:tcPr>
          <w:p>
            <w:pPr>
              <w:spacing w:after="0"/>
              <w:rPr>
                <w:sz w:val="1"/>
                <w:szCs w:val="1"/>
                <w:color w:val="auto"/>
              </w:rPr>
            </w:pPr>
          </w:p>
        </w:tc>
      </w:tr>
      <w:tr>
        <w:trPr>
          <w:trHeight w:val="88"/>
        </w:trPr>
        <w:tc>
          <w:tcPr>
            <w:tcW w:w="26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3"/>
              </w:rPr>
              <w:t>fact</w:t>
            </w:r>
          </w:p>
        </w:tc>
        <w:tc>
          <w:tcPr>
            <w:tcW w:w="19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6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200" w:firstLine="2"/>
        <w:spacing w:after="0" w:line="336"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60"/>
      </w:cols>
      <w:pgMar w:left="500" w:top="127"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9573" TargetMode="External"/><Relationship Id="rId14" Type="http://schemas.openxmlformats.org/officeDocument/2006/relationships/hyperlink" Target="http://www.sec.gov/cgi-bin/browse-edgar?action=getcompany&amp;CIK=00020217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2026-06-29T16:17:21Z</dcterms:created>
  <dcterms:modified xsi:type="dcterms:W3CDTF">2026-06-29T16:17:21Z</dcterms:modified>
</cp:coreProperties>
</file>