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046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046720"/>
                    </a:xfrm>
                    <a:prstGeom prst="rect">
                      <a:avLst/>
                    </a:prstGeom>
                    <a:noFill/>
                  </pic:spPr>
                </pic:pic>
              </a:graphicData>
            </a:graphic>
          </wp:anchor>
        </w:drawing>
      </w:r>
    </w:p>
    <w:p>
      <w:pPr>
        <w:spacing w:after="0" w:line="1285" w:lineRule="exact"/>
        <w:rPr>
          <w:sz w:val="24"/>
          <w:szCs w:val="24"/>
          <w:color w:val="auto"/>
        </w:rPr>
      </w:pPr>
    </w:p>
    <w:p>
      <w:pPr>
        <w:sectPr>
          <w:pgSz w:w="11900" w:h="1691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Patel Yagnesh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CEREBRAS SYSTEMS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1237 E. ARQUES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Cerebras Systems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22" w:lineRule="exact"/>
        <w:rPr>
          <w:sz w:val="24"/>
          <w:szCs w:val="24"/>
          <w:color w:val="auto"/>
        </w:rPr>
      </w:pPr>
    </w:p>
    <w:p>
      <w:pPr>
        <w:sectPr>
          <w:pgSz w:w="11900" w:h="16910"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SUNNYVALE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06/25/2026</w:t>
            </w: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46</w:t>
            </w:r>
          </w:p>
        </w:tc>
        <w:tc>
          <w:tcPr>
            <w:tcW w:w="4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189.36</w:t>
            </w:r>
          </w:p>
        </w:tc>
        <w:tc>
          <w:tcPr>
            <w:tcW w:w="380" w:type="dxa"/>
            <w:vAlign w:val="bottom"/>
          </w:tcPr>
          <w:p>
            <w:pPr>
              <w:spacing w:after="0"/>
              <w:rPr>
                <w:sz w:val="23"/>
                <w:szCs w:val="23"/>
                <w:color w:val="auto"/>
              </w:rPr>
            </w:pPr>
          </w:p>
        </w:tc>
        <w:tc>
          <w:tcPr>
            <w:tcW w:w="820" w:type="dxa"/>
            <w:vAlign w:val="bottom"/>
          </w:tcPr>
          <w:p>
            <w:pPr>
              <w:jc w:val="center"/>
              <w:ind w:right="363"/>
              <w:spacing w:after="0"/>
              <w:rPr>
                <w:sz w:val="20"/>
                <w:szCs w:val="20"/>
                <w:color w:val="auto"/>
              </w:rPr>
            </w:pPr>
            <w:r>
              <w:rPr>
                <w:rFonts w:ascii="Times New Roman" w:cs="Times New Roman" w:eastAsia="Times New Roman" w:hAnsi="Times New Roman"/>
                <w:sz w:val="17"/>
                <w:szCs w:val="17"/>
                <w:color w:val="0000FF"/>
                <w:w w:val="99"/>
              </w:rPr>
              <w:t>3,954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161.61</w:t>
            </w:r>
          </w:p>
        </w:tc>
        <w:tc>
          <w:tcPr>
            <w:tcW w:w="380" w:type="dxa"/>
            <w:vAlign w:val="bottom"/>
          </w:tcPr>
          <w:p>
            <w:pPr>
              <w:spacing w:after="0"/>
              <w:rPr>
                <w:sz w:val="23"/>
                <w:szCs w:val="23"/>
                <w:color w:val="auto"/>
              </w:rPr>
            </w:pPr>
          </w:p>
        </w:tc>
        <w:tc>
          <w:tcPr>
            <w:tcW w:w="820" w:type="dxa"/>
            <w:vAlign w:val="bottom"/>
          </w:tcPr>
          <w:p>
            <w:pPr>
              <w:jc w:val="center"/>
              <w:ind w:right="363"/>
              <w:spacing w:after="0"/>
              <w:rPr>
                <w:sz w:val="20"/>
                <w:szCs w:val="20"/>
                <w:color w:val="auto"/>
              </w:rPr>
            </w:pPr>
            <w:r>
              <w:rPr>
                <w:rFonts w:ascii="Times New Roman" w:cs="Times New Roman" w:eastAsia="Times New Roman" w:hAnsi="Times New Roman"/>
                <w:sz w:val="17"/>
                <w:szCs w:val="17"/>
                <w:color w:val="0000FF"/>
                <w:w w:val="99"/>
              </w:rPr>
              <w:t>3,854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163.29</w:t>
            </w:r>
            <w:r>
              <w:rPr>
                <w:rFonts w:ascii="Times New Roman" w:cs="Times New Roman" w:eastAsia="Times New Roman" w:hAnsi="Times New Roman"/>
                <w:sz w:val="22"/>
                <w:szCs w:val="22"/>
                <w:color w:val="008000"/>
                <w:w w:val="95"/>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17"/>
                <w:szCs w:val="17"/>
                <w:color w:val="0000FF"/>
                <w:w w:val="99"/>
              </w:rPr>
              <w:t>3,554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164.79</w:t>
            </w:r>
          </w:p>
        </w:tc>
        <w:tc>
          <w:tcPr>
            <w:tcW w:w="380" w:type="dxa"/>
            <w:vAlign w:val="bottom"/>
          </w:tcPr>
          <w:p>
            <w:pPr>
              <w:spacing w:after="0"/>
              <w:rPr>
                <w:sz w:val="23"/>
                <w:szCs w:val="23"/>
                <w:color w:val="auto"/>
              </w:rPr>
            </w:pPr>
          </w:p>
        </w:tc>
        <w:tc>
          <w:tcPr>
            <w:tcW w:w="820" w:type="dxa"/>
            <w:vAlign w:val="bottom"/>
          </w:tcPr>
          <w:p>
            <w:pPr>
              <w:jc w:val="center"/>
              <w:ind w:right="363"/>
              <w:spacing w:after="0"/>
              <w:rPr>
                <w:sz w:val="20"/>
                <w:szCs w:val="20"/>
                <w:color w:val="auto"/>
              </w:rPr>
            </w:pPr>
            <w:r>
              <w:rPr>
                <w:rFonts w:ascii="Times New Roman" w:cs="Times New Roman" w:eastAsia="Times New Roman" w:hAnsi="Times New Roman"/>
                <w:sz w:val="17"/>
                <w:szCs w:val="17"/>
                <w:color w:val="0000FF"/>
                <w:w w:val="99"/>
              </w:rPr>
              <w:t>3,454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166.66</w:t>
            </w:r>
            <w:r>
              <w:rPr>
                <w:rFonts w:ascii="Times New Roman" w:cs="Times New Roman" w:eastAsia="Times New Roman" w:hAnsi="Times New Roman"/>
                <w:sz w:val="22"/>
                <w:szCs w:val="22"/>
                <w:color w:val="008000"/>
                <w:w w:val="95"/>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17"/>
                <w:szCs w:val="17"/>
                <w:color w:val="0000FF"/>
                <w:w w:val="99"/>
              </w:rPr>
              <w:t>3,254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168.45</w:t>
            </w:r>
            <w:r>
              <w:rPr>
                <w:rFonts w:ascii="Times New Roman" w:cs="Times New Roman" w:eastAsia="Times New Roman" w:hAnsi="Times New Roman"/>
                <w:sz w:val="22"/>
                <w:szCs w:val="22"/>
                <w:color w:val="008000"/>
                <w:w w:val="95"/>
                <w:vertAlign w:val="superscript"/>
              </w:rPr>
              <w:t>(3)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17"/>
                <w:szCs w:val="17"/>
                <w:color w:val="0000FF"/>
                <w:w w:val="99"/>
              </w:rPr>
              <w:t>3,054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169.31</w:t>
            </w:r>
            <w:r>
              <w:rPr>
                <w:rFonts w:ascii="Times New Roman" w:cs="Times New Roman" w:eastAsia="Times New Roman" w:hAnsi="Times New Roman"/>
                <w:sz w:val="22"/>
                <w:szCs w:val="22"/>
                <w:color w:val="008000"/>
                <w:w w:val="95"/>
                <w:vertAlign w:val="superscript"/>
              </w:rPr>
              <w:t>(4)</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17"/>
                <w:szCs w:val="17"/>
                <w:color w:val="0000FF"/>
                <w:w w:val="99"/>
              </w:rPr>
              <w:t>2,754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171.99</w:t>
            </w:r>
            <w:r>
              <w:rPr>
                <w:rFonts w:ascii="Times New Roman" w:cs="Times New Roman" w:eastAsia="Times New Roman" w:hAnsi="Times New Roman"/>
                <w:sz w:val="22"/>
                <w:szCs w:val="22"/>
                <w:color w:val="008000"/>
                <w:w w:val="95"/>
                <w:vertAlign w:val="superscript"/>
              </w:rPr>
              <w:t>(5)</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17"/>
                <w:szCs w:val="17"/>
                <w:color w:val="0000FF"/>
                <w:w w:val="99"/>
              </w:rPr>
              <w:t>2,354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173.36</w:t>
            </w:r>
            <w:r>
              <w:rPr>
                <w:rFonts w:ascii="Times New Roman" w:cs="Times New Roman" w:eastAsia="Times New Roman" w:hAnsi="Times New Roman"/>
                <w:sz w:val="22"/>
                <w:szCs w:val="22"/>
                <w:color w:val="008000"/>
                <w:w w:val="95"/>
                <w:vertAlign w:val="superscript"/>
              </w:rPr>
              <w:t>(6)</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17"/>
                <w:szCs w:val="17"/>
                <w:color w:val="0000FF"/>
                <w:w w:val="99"/>
              </w:rPr>
              <w:t>1,854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175.01</w:t>
            </w:r>
            <w:r>
              <w:rPr>
                <w:rFonts w:ascii="Times New Roman" w:cs="Times New Roman" w:eastAsia="Times New Roman" w:hAnsi="Times New Roman"/>
                <w:sz w:val="22"/>
                <w:szCs w:val="22"/>
                <w:color w:val="008000"/>
                <w:w w:val="95"/>
                <w:vertAlign w:val="superscript"/>
              </w:rPr>
              <w:t>(7)</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17"/>
                <w:szCs w:val="17"/>
                <w:color w:val="0000FF"/>
                <w:w w:val="99"/>
              </w:rPr>
              <w:t>1,654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176.12</w:t>
            </w:r>
          </w:p>
        </w:tc>
        <w:tc>
          <w:tcPr>
            <w:tcW w:w="380" w:type="dxa"/>
            <w:vAlign w:val="bottom"/>
          </w:tcPr>
          <w:p>
            <w:pPr>
              <w:spacing w:after="0"/>
              <w:rPr>
                <w:sz w:val="23"/>
                <w:szCs w:val="23"/>
                <w:color w:val="auto"/>
              </w:rPr>
            </w:pPr>
          </w:p>
        </w:tc>
        <w:tc>
          <w:tcPr>
            <w:tcW w:w="820" w:type="dxa"/>
            <w:vAlign w:val="bottom"/>
          </w:tcPr>
          <w:p>
            <w:pPr>
              <w:jc w:val="center"/>
              <w:ind w:right="363"/>
              <w:spacing w:after="0"/>
              <w:rPr>
                <w:sz w:val="20"/>
                <w:szCs w:val="20"/>
                <w:color w:val="auto"/>
              </w:rPr>
            </w:pPr>
            <w:r>
              <w:rPr>
                <w:rFonts w:ascii="Times New Roman" w:cs="Times New Roman" w:eastAsia="Times New Roman" w:hAnsi="Times New Roman"/>
                <w:sz w:val="17"/>
                <w:szCs w:val="17"/>
                <w:color w:val="0000FF"/>
                <w:w w:val="99"/>
              </w:rPr>
              <w:t>1,554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178.36</w:t>
            </w:r>
            <w:r>
              <w:rPr>
                <w:rFonts w:ascii="Times New Roman" w:cs="Times New Roman" w:eastAsia="Times New Roman" w:hAnsi="Times New Roman"/>
                <w:sz w:val="22"/>
                <w:szCs w:val="22"/>
                <w:color w:val="008000"/>
                <w:w w:val="95"/>
                <w:vertAlign w:val="superscript"/>
              </w:rPr>
              <w:t>(8)</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17"/>
                <w:szCs w:val="17"/>
                <w:color w:val="0000FF"/>
                <w:w w:val="99"/>
              </w:rPr>
              <w:t>1,354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179.56</w:t>
            </w:r>
            <w:r>
              <w:rPr>
                <w:rFonts w:ascii="Times New Roman" w:cs="Times New Roman" w:eastAsia="Times New Roman" w:hAnsi="Times New Roman"/>
                <w:sz w:val="22"/>
                <w:szCs w:val="22"/>
                <w:color w:val="008000"/>
                <w:w w:val="95"/>
                <w:vertAlign w:val="superscript"/>
              </w:rPr>
              <w:t>(9)</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17"/>
                <w:szCs w:val="17"/>
                <w:color w:val="0000FF"/>
                <w:w w:val="99"/>
              </w:rPr>
              <w:t>1,054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180.83</w:t>
            </w:r>
            <w:r>
              <w:rPr>
                <w:rFonts w:ascii="Times New Roman" w:cs="Times New Roman" w:eastAsia="Times New Roman" w:hAnsi="Times New Roman"/>
                <w:sz w:val="22"/>
                <w:szCs w:val="22"/>
                <w:color w:val="008000"/>
                <w:w w:val="94"/>
                <w:vertAlign w:val="superscript"/>
              </w:rPr>
              <w:t>(10)</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17"/>
                <w:szCs w:val="17"/>
                <w:color w:val="0000FF"/>
              </w:rPr>
              <w:t>354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354</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182.05</w:t>
            </w:r>
            <w:r>
              <w:rPr>
                <w:rFonts w:ascii="Times New Roman" w:cs="Times New Roman" w:eastAsia="Times New Roman" w:hAnsi="Times New Roman"/>
                <w:sz w:val="22"/>
                <w:szCs w:val="22"/>
                <w:color w:val="008000"/>
                <w:w w:val="94"/>
                <w:vertAlign w:val="superscript"/>
              </w:rPr>
              <w:t>(11)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43"/>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15,000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83"/>
              <w:spacing w:after="0" w:line="319" w:lineRule="exact"/>
              <w:rPr>
                <w:sz w:val="20"/>
                <w:szCs w:val="20"/>
                <w:color w:val="auto"/>
              </w:rPr>
            </w:pPr>
            <w:r>
              <w:rPr>
                <w:rFonts w:ascii="Arial" w:cs="Arial" w:eastAsia="Arial" w:hAnsi="Arial"/>
                <w:sz w:val="34"/>
                <w:szCs w:val="34"/>
                <w:color w:val="000000"/>
                <w:w w:val="85"/>
                <w:vertAlign w:val="subscript"/>
              </w:rPr>
              <w:t>$</w:t>
            </w:r>
            <w:r>
              <w:rPr>
                <w:rFonts w:ascii="Times New Roman" w:cs="Times New Roman" w:eastAsia="Times New Roman" w:hAnsi="Times New Roman"/>
                <w:sz w:val="34"/>
                <w:szCs w:val="34"/>
                <w:color w:val="0000FF"/>
                <w:w w:val="85"/>
                <w:vertAlign w:val="subscript"/>
              </w:rPr>
              <w:t>0</w:t>
            </w:r>
            <w:r>
              <w:rPr>
                <w:rFonts w:ascii="Times New Roman" w:cs="Times New Roman" w:eastAsia="Times New Roman" w:hAnsi="Times New Roman"/>
                <w:sz w:val="11"/>
                <w:szCs w:val="11"/>
                <w:color w:val="008000"/>
                <w:w w:val="85"/>
              </w:rPr>
              <w:t>(12)</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79"/>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$162.95 to $163.56,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$166.32 to $166.99, inclusive. Upon request by the staff of the Securities and Exchange commission, the Issuer, or a security holder of the Issuer, the Reporting Person will provide full information regarding the number of shares sold at each separate price.</w:t>
      </w:r>
    </w:p>
    <w:p>
      <w:pPr>
        <w:sectPr>
          <w:pgSz w:w="11900" w:h="16910" w:orient="portrait"/>
          <w:cols w:equalWidth="0" w:num="1">
            <w:col w:w="11080"/>
          </w:cols>
          <w:pgMar w:left="460" w:top="219" w:right="359" w:bottom="0" w:gutter="0" w:footer="0" w:header="0"/>
          <w:type w:val="continuous"/>
        </w:sectPr>
      </w:pPr>
    </w:p>
    <w:bookmarkStart w:id="1" w:name="page2"/>
    <w:bookmarkEnd w:id="1"/>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$167.96 to $168.94,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$169.05 to $169.77,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$171.79 to $172.21,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$173.04 to $173.77,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$174.89 to $175.12,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$178.00 to $178.71,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$179.09 to $179.82,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$180.43 to $181.36,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$181.74 to $182.26,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right="30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according to the terms of the applicable award agreement. Each RSU represents a contingent right to receive one share of the Issuer's Class A common stock.</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3"/>
          <w:szCs w:val="13"/>
          <w:color w:val="008000"/>
        </w:rPr>
        <w:t>This Form 4 is the second of two Forms 4 being filed by the Reporting Person relating to transactions that occurred on June 25, 2026 and June 26, 2026 (the "Transaction Dates"). Because there are more than 30 rows associated with the Reporting Person's transactions that occurred on the Transaction Dates,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p>
      <w:pPr>
        <w:spacing w:after="0" w:line="173"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Robert Mills,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4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2410" TargetMode="External"/><Relationship Id="rId14" Type="http://schemas.openxmlformats.org/officeDocument/2006/relationships/hyperlink" Target="http://www.sec.gov/cgi-bin/browse-edgar?action=getcompany&amp;CIK=00020217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2026-06-29T16:33:51Z</dcterms:created>
  <dcterms:modified xsi:type="dcterms:W3CDTF">2026-06-29T16:33:51Z</dcterms:modified>
</cp:coreProperties>
</file>