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Susan Lior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CEREBRAS SYSTEMS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1237 E. ARQUES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SUNNYVALE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Cerebras Systems Inc.</w:t>
              </w:r>
            </w:hyperlink>
            <w:r>
              <w:rPr/>
              <w:t xml:space="preserve"> [ </w:t>
            </w:r>
            <w:r>
              <w:rPr>
                <w:rFonts w:ascii="Times;serif" w:hAnsi="Times;serif"/>
                <w:color w:val="0000FF"/>
                <w:sz w:val="24"/>
                <w:shd w:fill="FFFFFF" w:val="clear"/>
              </w:rPr>
              <w:t>CBRS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72"/>
        <w:gridCol w:w="902"/>
        <w:gridCol w:w="773"/>
        <w:gridCol w:w="599"/>
        <w:gridCol w:w="341"/>
        <w:gridCol w:w="1137"/>
        <w:gridCol w:w="434"/>
        <w:gridCol w:w="597"/>
        <w:gridCol w:w="1253"/>
        <w:gridCol w:w="972"/>
        <w:gridCol w:w="10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7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1,198,489</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5,292,222</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p>
        </w:tc>
      </w:tr>
      <w:tr>
        <w:trPr/>
        <w:tc>
          <w:tcPr>
            <w:tcW w:w="217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(3)</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68,428</w:t>
            </w:r>
          </w:p>
        </w:tc>
        <w:tc>
          <w:tcPr>
            <w:tcW w:w="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420,355</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7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(3)</w:t>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63,056</w:t>
            </w:r>
          </w:p>
        </w:tc>
        <w:tc>
          <w:tcPr>
            <w:tcW w:w="4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372,659</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pro-rata, in-kind distribution by the Eclipse Entities (as defined below) to its partners, for no additional consideration (the "Distribution").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Following the distribution, consists of (i) 314,543 shares of Class A common stock held by Eclipse Continuity Fund I, L.P. ("Eclipse Continuity Fund"); (ii) 2,573,548 shares of Class A common stock held by Eclipse SPV II, L.P. ("Eclipse SPV II"); (iii) 235,755 shares of Class A common stock held by Eclipse SPV XIII, L.P. ("Eclipse SPV XIII"); and (iv) 2,168,376 shares of Class A common stock held by Eclipse Ventures Fund I, L.P. ("Eclipse Fund," and together with Eclipse Continuity Fund, Eclipse SPV II, and Eclipse SPV XIII, "Eclipse Entities"). The Reporting Person is the sole managing member of the general partner of each of the Eclipse Entities and may be deemed to have voting, investment, and dispositive power with respect to the shares held by such entities.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were obtained pursuant to a pro-rata, in-kind distribution from the Eclipse Entities, for no additional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are held directly by an estate-planning vehicle which is controlled by the Reporting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Lior Susan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2895" TargetMode="External"/><Relationship Id="rId5" Type="http://schemas.openxmlformats.org/officeDocument/2006/relationships/hyperlink" Target="http://www.sec.gov/cgi-bin/browse-edgar?action=getcompany&amp;CIK=000202172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777</Words>
  <Characters>4178</Characters>
  <CharactersWithSpaces>4867</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